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579" w:lineRule="exact"/>
        <w:ind w:firstLine="360" w:firstLineChars="1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成都市第五人民医院</w:t>
      </w:r>
    </w:p>
    <w:p>
      <w:pPr>
        <w:adjustRightInd w:val="0"/>
        <w:snapToGrid w:val="0"/>
        <w:spacing w:before="156" w:beforeLines="50" w:after="156" w:afterLines="50" w:line="579" w:lineRule="exact"/>
        <w:ind w:firstLine="360" w:firstLineChars="100"/>
        <w:jc w:val="center"/>
        <w:rPr>
          <w:rFonts w:hint="eastAsia" w:ascii="黑体" w:hAnsi="黑体" w:eastAsia="方正小标宋简体" w:cs="仿宋_GB2312"/>
          <w:sz w:val="36"/>
          <w:szCs w:val="36"/>
          <w:lang w:eastAsia="zh-CN"/>
        </w:rPr>
      </w:pPr>
      <w:r>
        <w:rPr>
          <w:rFonts w:hint="eastAsia" w:ascii="方正小标宋简体" w:hAnsi="方正小标宋简体" w:eastAsia="方正小标宋简体" w:cs="方正小标宋简体"/>
          <w:sz w:val="36"/>
          <w:szCs w:val="36"/>
          <w:lang w:val="en-US" w:eastAsia="zh-CN"/>
        </w:rPr>
        <w:t>信息安全等级保护测评服务项目</w:t>
      </w:r>
      <w:r>
        <w:rPr>
          <w:rFonts w:hint="eastAsia" w:ascii="方正小标宋简体" w:hAnsi="方正小标宋简体" w:eastAsia="方正小标宋简体" w:cs="方正小标宋简体"/>
          <w:sz w:val="36"/>
          <w:szCs w:val="36"/>
        </w:rPr>
        <w:t>市场调研</w:t>
      </w:r>
      <w:r>
        <w:rPr>
          <w:rFonts w:hint="eastAsia" w:ascii="方正小标宋简体" w:hAnsi="方正小标宋简体" w:eastAsia="方正小标宋简体" w:cs="方正小标宋简体"/>
          <w:sz w:val="36"/>
          <w:szCs w:val="36"/>
          <w:lang w:val="en-US" w:eastAsia="zh-CN"/>
        </w:rPr>
        <w:t>需求</w:t>
      </w:r>
    </w:p>
    <w:p>
      <w:pPr>
        <w:pStyle w:val="11"/>
        <w:numPr>
          <w:ilvl w:val="0"/>
          <w:numId w:val="0"/>
        </w:numPr>
        <w:spacing w:line="360" w:lineRule="auto"/>
        <w:ind w:leftChars="0"/>
        <w:rPr>
          <w:rFonts w:ascii="宋体" w:hAnsi="宋体" w:eastAsia="宋体"/>
          <w:sz w:val="28"/>
          <w:szCs w:val="28"/>
        </w:rPr>
      </w:pPr>
      <w:r>
        <w:rPr>
          <w:rFonts w:hint="eastAsia" w:ascii="宋体" w:hAnsi="宋体" w:eastAsia="宋体"/>
          <w:sz w:val="28"/>
          <w:szCs w:val="28"/>
          <w:lang w:val="en-US" w:eastAsia="zh-CN"/>
        </w:rPr>
        <w:t>一、概述</w:t>
      </w:r>
    </w:p>
    <w:p>
      <w:pPr>
        <w:spacing w:line="360" w:lineRule="auto"/>
        <w:ind w:firstLine="420"/>
        <w:rPr>
          <w:rFonts w:ascii="仿宋" w:hAnsi="仿宋" w:eastAsia="仿宋"/>
          <w:sz w:val="24"/>
          <w:szCs w:val="24"/>
        </w:rPr>
      </w:pPr>
      <w:r>
        <w:rPr>
          <w:rFonts w:hint="eastAsia" w:ascii="仿宋" w:hAnsi="仿宋" w:eastAsia="仿宋"/>
          <w:sz w:val="24"/>
          <w:szCs w:val="24"/>
        </w:rPr>
        <w:t>为贯彻落实《中华人民共和国网络安全法》、《信息安全等级保护管理办法》《贯彻落实网络安全等级保护制度和关键信息基础设施安全保护制度的指导意见》等国家相关法律法规，不断提高网络安全整体防护能力，成都市第五人民医院启动了</w:t>
      </w:r>
      <w:r>
        <w:rPr>
          <w:rFonts w:hint="eastAsia" w:ascii="仿宋" w:hAnsi="仿宋" w:eastAsia="仿宋"/>
          <w:sz w:val="24"/>
          <w:szCs w:val="24"/>
          <w:lang w:val="en-US" w:eastAsia="zh-CN"/>
        </w:rPr>
        <w:t>2024</w:t>
      </w:r>
      <w:r>
        <w:rPr>
          <w:rFonts w:hint="eastAsia" w:ascii="仿宋" w:hAnsi="仿宋" w:eastAsia="仿宋"/>
          <w:sz w:val="24"/>
          <w:szCs w:val="24"/>
        </w:rPr>
        <w:t>年度信息系统网络安全等级保护测评工作</w:t>
      </w:r>
      <w:r>
        <w:rPr>
          <w:rFonts w:ascii="仿宋" w:hAnsi="仿宋" w:eastAsia="仿宋"/>
          <w:sz w:val="24"/>
          <w:szCs w:val="24"/>
        </w:rPr>
        <w:t>。</w:t>
      </w:r>
    </w:p>
    <w:p>
      <w:pPr>
        <w:pStyle w:val="11"/>
        <w:numPr>
          <w:ilvl w:val="0"/>
          <w:numId w:val="0"/>
        </w:numPr>
        <w:spacing w:line="360" w:lineRule="auto"/>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二、工作依据</w:t>
      </w:r>
    </w:p>
    <w:p>
      <w:pPr>
        <w:spacing w:line="360" w:lineRule="auto"/>
        <w:ind w:left="141" w:leftChars="67"/>
        <w:rPr>
          <w:rFonts w:ascii="仿宋" w:hAnsi="仿宋" w:eastAsia="仿宋"/>
          <w:sz w:val="24"/>
          <w:szCs w:val="24"/>
        </w:rPr>
      </w:pPr>
      <w:r>
        <w:rPr>
          <w:rFonts w:hint="eastAsia" w:ascii="仿宋" w:hAnsi="仿宋" w:eastAsia="仿宋"/>
          <w:sz w:val="24"/>
          <w:szCs w:val="24"/>
        </w:rPr>
        <w:t>《中华人民共和国网络安全法》</w:t>
      </w:r>
    </w:p>
    <w:p>
      <w:pPr>
        <w:spacing w:line="360" w:lineRule="auto"/>
        <w:ind w:left="141" w:leftChars="67"/>
        <w:rPr>
          <w:rFonts w:ascii="仿宋" w:hAnsi="仿宋" w:eastAsia="仿宋"/>
          <w:sz w:val="24"/>
          <w:szCs w:val="24"/>
        </w:rPr>
      </w:pPr>
      <w:r>
        <w:rPr>
          <w:rFonts w:hint="eastAsia" w:ascii="仿宋" w:hAnsi="仿宋" w:eastAsia="仿宋"/>
          <w:kern w:val="0"/>
          <w:sz w:val="24"/>
          <w:szCs w:val="24"/>
        </w:rPr>
        <w:t>《中华人民共和国计算机信息系统安全保护条例》国务院令第147号</w:t>
      </w:r>
    </w:p>
    <w:p>
      <w:pPr>
        <w:spacing w:line="360" w:lineRule="auto"/>
        <w:ind w:left="141" w:leftChars="67"/>
        <w:rPr>
          <w:rFonts w:ascii="仿宋" w:hAnsi="仿宋" w:eastAsia="仿宋"/>
          <w:sz w:val="24"/>
          <w:szCs w:val="24"/>
        </w:rPr>
      </w:pPr>
      <w:r>
        <w:rPr>
          <w:rFonts w:hint="eastAsia" w:ascii="仿宋" w:hAnsi="仿宋" w:eastAsia="仿宋"/>
          <w:sz w:val="24"/>
          <w:szCs w:val="24"/>
        </w:rPr>
        <w:t>《信息安全等级保护管理办法》公通字[</w:t>
      </w:r>
      <w:r>
        <w:rPr>
          <w:rFonts w:ascii="仿宋" w:hAnsi="仿宋" w:eastAsia="仿宋"/>
          <w:sz w:val="24"/>
          <w:szCs w:val="24"/>
        </w:rPr>
        <w:t>2007]43</w:t>
      </w:r>
      <w:r>
        <w:rPr>
          <w:rFonts w:hint="eastAsia" w:ascii="仿宋" w:hAnsi="仿宋" w:eastAsia="仿宋"/>
          <w:sz w:val="24"/>
          <w:szCs w:val="24"/>
        </w:rPr>
        <w:t>号</w:t>
      </w:r>
    </w:p>
    <w:p>
      <w:pPr>
        <w:spacing w:line="360" w:lineRule="auto"/>
        <w:ind w:left="141" w:leftChars="67"/>
        <w:rPr>
          <w:rFonts w:ascii="仿宋" w:hAnsi="仿宋" w:eastAsia="仿宋"/>
          <w:sz w:val="24"/>
          <w:szCs w:val="24"/>
        </w:rPr>
      </w:pPr>
      <w:r>
        <w:rPr>
          <w:rFonts w:hint="eastAsia" w:ascii="仿宋" w:hAnsi="仿宋" w:eastAsia="仿宋"/>
          <w:sz w:val="24"/>
          <w:szCs w:val="24"/>
        </w:rPr>
        <w:t>《贯彻落实网络安全等保制度和关保制度的指导意见》公网安[</w:t>
      </w:r>
      <w:r>
        <w:rPr>
          <w:rFonts w:ascii="仿宋" w:hAnsi="仿宋" w:eastAsia="仿宋"/>
          <w:sz w:val="24"/>
          <w:szCs w:val="24"/>
        </w:rPr>
        <w:t>2020]1960</w:t>
      </w:r>
      <w:r>
        <w:rPr>
          <w:rFonts w:hint="eastAsia" w:ascii="仿宋" w:hAnsi="仿宋" w:eastAsia="仿宋"/>
          <w:sz w:val="24"/>
          <w:szCs w:val="24"/>
        </w:rPr>
        <w:t>号</w:t>
      </w:r>
    </w:p>
    <w:p>
      <w:pPr>
        <w:spacing w:line="360" w:lineRule="auto"/>
        <w:ind w:left="141" w:leftChars="67"/>
        <w:rPr>
          <w:rFonts w:ascii="仿宋" w:hAnsi="仿宋" w:eastAsia="仿宋"/>
          <w:sz w:val="24"/>
        </w:rPr>
      </w:pPr>
      <w:r>
        <w:rPr>
          <w:rFonts w:hint="eastAsia" w:ascii="仿宋" w:hAnsi="仿宋" w:eastAsia="仿宋"/>
          <w:sz w:val="24"/>
        </w:rPr>
        <w:t>《四川省卫生健康行业网络安全等级保护工作实施方案》（川卫函〔2019〕11号）</w:t>
      </w:r>
    </w:p>
    <w:p>
      <w:pPr>
        <w:pStyle w:val="11"/>
        <w:numPr>
          <w:numId w:val="0"/>
        </w:numPr>
        <w:spacing w:line="360" w:lineRule="auto"/>
        <w:rPr>
          <w:rFonts w:hint="default" w:ascii="宋体" w:hAnsi="宋体" w:eastAsia="宋体"/>
          <w:sz w:val="28"/>
          <w:szCs w:val="28"/>
          <w:lang w:val="en-US" w:eastAsia="zh-CN"/>
        </w:rPr>
      </w:pPr>
      <w:r>
        <w:rPr>
          <w:rFonts w:hint="eastAsia" w:ascii="宋体" w:hAnsi="宋体" w:eastAsia="宋体"/>
          <w:sz w:val="28"/>
          <w:szCs w:val="28"/>
          <w:lang w:val="en-US" w:eastAsia="zh-CN"/>
        </w:rPr>
        <w:t>三、资格要求</w:t>
      </w:r>
    </w:p>
    <w:p>
      <w:pPr>
        <w:spacing w:line="360" w:lineRule="auto"/>
        <w:ind w:left="420" w:leftChars="200"/>
        <w:rPr>
          <w:rFonts w:ascii="仿宋" w:hAnsi="仿宋" w:eastAsia="仿宋"/>
          <w:sz w:val="24"/>
          <w:szCs w:val="24"/>
        </w:rPr>
      </w:pPr>
      <w:r>
        <w:rPr>
          <w:rFonts w:hint="eastAsia" w:ascii="仿宋" w:hAnsi="仿宋" w:eastAsia="仿宋"/>
          <w:sz w:val="24"/>
          <w:szCs w:val="24"/>
        </w:rPr>
        <w:t>供应商应依法设立且满足如下要求：</w:t>
      </w:r>
    </w:p>
    <w:p>
      <w:pPr>
        <w:pStyle w:val="11"/>
        <w:numPr>
          <w:ilvl w:val="0"/>
          <w:numId w:val="1"/>
        </w:numPr>
        <w:spacing w:line="360" w:lineRule="auto"/>
        <w:ind w:firstLineChars="0"/>
        <w:rPr>
          <w:rFonts w:ascii="仿宋" w:hAnsi="仿宋" w:eastAsia="仿宋"/>
          <w:sz w:val="24"/>
          <w:szCs w:val="24"/>
        </w:rPr>
      </w:pPr>
      <w:r>
        <w:rPr>
          <w:rFonts w:ascii="仿宋" w:hAnsi="仿宋" w:eastAsia="仿宋"/>
          <w:sz w:val="24"/>
          <w:szCs w:val="24"/>
        </w:rPr>
        <w:t>资质要求：应答人须为中华人民共和国境内依法注册的企业法人。须具有《</w:t>
      </w:r>
      <w:r>
        <w:rPr>
          <w:rFonts w:hint="eastAsia" w:ascii="仿宋" w:hAnsi="仿宋" w:eastAsia="仿宋"/>
          <w:sz w:val="24"/>
          <w:szCs w:val="24"/>
        </w:rPr>
        <w:t>网络安全等级测评与检测评估机构服务认证证书</w:t>
      </w:r>
      <w:r>
        <w:rPr>
          <w:rFonts w:ascii="仿宋" w:hAnsi="仿宋" w:eastAsia="仿宋"/>
          <w:sz w:val="24"/>
          <w:szCs w:val="24"/>
        </w:rPr>
        <w:t>》。</w:t>
      </w:r>
    </w:p>
    <w:p>
      <w:pPr>
        <w:pStyle w:val="11"/>
        <w:numPr>
          <w:ilvl w:val="0"/>
          <w:numId w:val="1"/>
        </w:numPr>
        <w:spacing w:line="360" w:lineRule="auto"/>
        <w:ind w:firstLineChars="0"/>
        <w:rPr>
          <w:rFonts w:ascii="仿宋" w:hAnsi="仿宋" w:eastAsia="仿宋"/>
          <w:sz w:val="24"/>
          <w:szCs w:val="24"/>
        </w:rPr>
      </w:pPr>
      <w:r>
        <w:rPr>
          <w:rFonts w:ascii="仿宋" w:hAnsi="仿宋" w:eastAsia="仿宋"/>
          <w:sz w:val="24"/>
          <w:szCs w:val="24"/>
        </w:rPr>
        <w:t>业绩要求：应答人近3年至少完成1项与此项目类似的业绩，并提供合同扫描件。</w:t>
      </w:r>
    </w:p>
    <w:p>
      <w:pPr>
        <w:pStyle w:val="11"/>
        <w:numPr>
          <w:ilvl w:val="0"/>
          <w:numId w:val="1"/>
        </w:numPr>
        <w:spacing w:line="360" w:lineRule="auto"/>
        <w:ind w:firstLineChars="0"/>
        <w:rPr>
          <w:rFonts w:ascii="仿宋" w:hAnsi="仿宋" w:eastAsia="仿宋"/>
          <w:sz w:val="24"/>
          <w:szCs w:val="24"/>
        </w:rPr>
      </w:pPr>
      <w:r>
        <w:rPr>
          <w:rFonts w:ascii="仿宋" w:hAnsi="仿宋" w:eastAsia="仿宋"/>
          <w:sz w:val="24"/>
          <w:szCs w:val="24"/>
        </w:rPr>
        <w:t>其它要求：应答人非四川省信息安全等级保护工作领导小组办公室推荐测评机构，应根据《异地测评机构在川开展测评活动工作须知》（川等保办发【2020】133号）要求提供相应证明文件</w:t>
      </w:r>
    </w:p>
    <w:p>
      <w:pPr>
        <w:pStyle w:val="11"/>
        <w:numPr>
          <w:ilvl w:val="0"/>
          <w:numId w:val="0"/>
        </w:numPr>
        <w:spacing w:line="360" w:lineRule="auto"/>
        <w:ind w:leftChars="0"/>
        <w:rPr>
          <w:rFonts w:hint="default" w:ascii="宋体" w:hAnsi="宋体" w:eastAsia="宋体"/>
          <w:sz w:val="28"/>
          <w:szCs w:val="28"/>
          <w:lang w:val="en-US" w:eastAsia="zh-CN"/>
        </w:rPr>
      </w:pPr>
      <w:r>
        <w:rPr>
          <w:rFonts w:hint="eastAsia" w:ascii="宋体" w:hAnsi="宋体" w:eastAsia="宋体"/>
          <w:sz w:val="28"/>
          <w:szCs w:val="28"/>
          <w:lang w:val="en-US" w:eastAsia="zh-CN"/>
        </w:rPr>
        <w:t>四、执行标准</w:t>
      </w:r>
    </w:p>
    <w:p>
      <w:pPr>
        <w:spacing w:line="360" w:lineRule="auto"/>
        <w:ind w:left="210" w:leftChars="100"/>
        <w:rPr>
          <w:rFonts w:ascii="仿宋" w:hAnsi="仿宋" w:eastAsia="仿宋"/>
          <w:sz w:val="24"/>
          <w:szCs w:val="24"/>
        </w:rPr>
      </w:pPr>
      <w:r>
        <w:rPr>
          <w:rFonts w:hint="eastAsia" w:ascii="仿宋" w:hAnsi="仿宋" w:eastAsia="仿宋"/>
          <w:sz w:val="24"/>
          <w:szCs w:val="24"/>
        </w:rPr>
        <w:t>GB/T 22239-2019：《信息安全技术 网络安全等级保护基本要求》</w:t>
      </w:r>
    </w:p>
    <w:p>
      <w:pPr>
        <w:spacing w:line="360" w:lineRule="auto"/>
        <w:ind w:left="210" w:leftChars="100"/>
        <w:rPr>
          <w:rFonts w:ascii="仿宋" w:hAnsi="仿宋" w:eastAsia="仿宋"/>
          <w:sz w:val="24"/>
          <w:szCs w:val="24"/>
        </w:rPr>
      </w:pPr>
      <w:r>
        <w:rPr>
          <w:rFonts w:hint="eastAsia" w:ascii="仿宋" w:hAnsi="仿宋" w:eastAsia="仿宋"/>
          <w:sz w:val="24"/>
          <w:szCs w:val="24"/>
        </w:rPr>
        <w:t>GB/T 20984-2007：《信息安全技术 信息安全风险评估规范》</w:t>
      </w:r>
    </w:p>
    <w:p>
      <w:pPr>
        <w:spacing w:line="360" w:lineRule="auto"/>
        <w:ind w:left="210" w:leftChars="100"/>
        <w:rPr>
          <w:rFonts w:ascii="仿宋" w:hAnsi="仿宋" w:eastAsia="仿宋"/>
          <w:sz w:val="24"/>
          <w:szCs w:val="24"/>
        </w:rPr>
      </w:pPr>
      <w:r>
        <w:rPr>
          <w:rFonts w:hint="eastAsia" w:ascii="仿宋" w:hAnsi="仿宋" w:eastAsia="仿宋"/>
          <w:sz w:val="24"/>
          <w:szCs w:val="24"/>
        </w:rPr>
        <w:t>GB/T 25058-2019：《信息安全技术 网络安全等级保护实施指南》</w:t>
      </w:r>
    </w:p>
    <w:p>
      <w:pPr>
        <w:spacing w:line="360" w:lineRule="auto"/>
        <w:ind w:left="210" w:leftChars="100"/>
        <w:rPr>
          <w:rFonts w:ascii="仿宋" w:hAnsi="仿宋" w:eastAsia="仿宋"/>
          <w:sz w:val="24"/>
          <w:szCs w:val="24"/>
        </w:rPr>
      </w:pPr>
      <w:r>
        <w:rPr>
          <w:rFonts w:hint="eastAsia" w:ascii="仿宋" w:hAnsi="仿宋" w:eastAsia="仿宋"/>
          <w:sz w:val="24"/>
          <w:szCs w:val="24"/>
        </w:rPr>
        <w:t>GB/T 28448-2019：《信息安全技术 网络安全等级保护测评要求》</w:t>
      </w:r>
    </w:p>
    <w:p>
      <w:pPr>
        <w:spacing w:line="360" w:lineRule="auto"/>
        <w:ind w:left="210" w:leftChars="100"/>
        <w:rPr>
          <w:rFonts w:ascii="仿宋" w:hAnsi="仿宋" w:eastAsia="仿宋"/>
          <w:sz w:val="24"/>
          <w:szCs w:val="24"/>
        </w:rPr>
      </w:pPr>
      <w:r>
        <w:rPr>
          <w:rFonts w:hint="eastAsia" w:ascii="仿宋" w:hAnsi="仿宋" w:eastAsia="仿宋"/>
          <w:sz w:val="24"/>
          <w:szCs w:val="24"/>
        </w:rPr>
        <w:t>GB/T 28449-2018：《信息安全技术 网络安全等级保护测评过程指南》</w:t>
      </w:r>
    </w:p>
    <w:p>
      <w:pPr>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五、测评对象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53"/>
        <w:gridCol w:w="212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ascii="仿宋" w:hAnsi="仿宋" w:eastAsia="仿宋"/>
                <w:sz w:val="24"/>
                <w:szCs w:val="24"/>
              </w:rPr>
            </w:pPr>
            <w:r>
              <w:rPr>
                <w:rFonts w:hint="eastAsia" w:ascii="仿宋" w:hAnsi="仿宋" w:eastAsia="仿宋"/>
                <w:sz w:val="24"/>
                <w:szCs w:val="24"/>
              </w:rPr>
              <w:t>序号</w:t>
            </w:r>
          </w:p>
        </w:tc>
        <w:tc>
          <w:tcPr>
            <w:tcW w:w="4253" w:type="dxa"/>
          </w:tcPr>
          <w:p>
            <w:pPr>
              <w:spacing w:line="360" w:lineRule="auto"/>
              <w:jc w:val="center"/>
              <w:rPr>
                <w:rFonts w:ascii="仿宋" w:hAnsi="仿宋" w:eastAsia="仿宋"/>
                <w:sz w:val="24"/>
                <w:szCs w:val="24"/>
              </w:rPr>
            </w:pPr>
            <w:r>
              <w:rPr>
                <w:rFonts w:hint="eastAsia" w:ascii="仿宋" w:hAnsi="仿宋" w:eastAsia="仿宋"/>
                <w:sz w:val="24"/>
                <w:szCs w:val="24"/>
              </w:rPr>
              <w:t>系统名称</w:t>
            </w:r>
          </w:p>
        </w:tc>
        <w:tc>
          <w:tcPr>
            <w:tcW w:w="2126" w:type="dxa"/>
          </w:tcPr>
          <w:p>
            <w:pPr>
              <w:spacing w:line="360" w:lineRule="auto"/>
              <w:jc w:val="center"/>
              <w:rPr>
                <w:rFonts w:ascii="仿宋" w:hAnsi="仿宋" w:eastAsia="仿宋"/>
                <w:sz w:val="24"/>
                <w:szCs w:val="24"/>
              </w:rPr>
            </w:pPr>
            <w:r>
              <w:rPr>
                <w:rFonts w:hint="eastAsia" w:ascii="仿宋" w:hAnsi="仿宋" w:eastAsia="仿宋"/>
                <w:sz w:val="24"/>
                <w:szCs w:val="24"/>
              </w:rPr>
              <w:t>安全保护等级</w:t>
            </w:r>
          </w:p>
        </w:tc>
        <w:tc>
          <w:tcPr>
            <w:tcW w:w="1213" w:type="dxa"/>
          </w:tcPr>
          <w:p>
            <w:pPr>
              <w:spacing w:line="360" w:lineRule="auto"/>
              <w:jc w:val="center"/>
              <w:rPr>
                <w:rFonts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ascii="仿宋" w:hAnsi="仿宋" w:eastAsia="仿宋"/>
                <w:sz w:val="24"/>
                <w:szCs w:val="24"/>
              </w:rPr>
            </w:pPr>
            <w:r>
              <w:rPr>
                <w:rFonts w:hint="eastAsia" w:ascii="仿宋" w:hAnsi="仿宋" w:eastAsia="仿宋"/>
                <w:sz w:val="24"/>
                <w:szCs w:val="24"/>
              </w:rPr>
              <w:t>1</w:t>
            </w:r>
          </w:p>
        </w:tc>
        <w:tc>
          <w:tcPr>
            <w:tcW w:w="4253"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H</w:t>
            </w:r>
            <w:r>
              <w:rPr>
                <w:rFonts w:ascii="仿宋" w:hAnsi="仿宋" w:eastAsia="仿宋"/>
                <w:sz w:val="24"/>
                <w:szCs w:val="24"/>
              </w:rPr>
              <w:t>IS</w:t>
            </w:r>
          </w:p>
        </w:tc>
        <w:tc>
          <w:tcPr>
            <w:tcW w:w="2126"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第三级</w:t>
            </w:r>
          </w:p>
        </w:tc>
        <w:tc>
          <w:tcPr>
            <w:tcW w:w="1213" w:type="dxa"/>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c>
          <w:tcPr>
            <w:tcW w:w="4253" w:type="dxa"/>
            <w:vAlign w:val="center"/>
          </w:tcPr>
          <w:p>
            <w:pPr>
              <w:spacing w:line="360" w:lineRule="auto"/>
              <w:jc w:val="center"/>
              <w:rPr>
                <w:rFonts w:hint="eastAsia" w:ascii="仿宋" w:hAnsi="仿宋" w:eastAsia="仿宋"/>
                <w:sz w:val="24"/>
                <w:szCs w:val="24"/>
              </w:rPr>
            </w:pPr>
            <w:r>
              <w:rPr>
                <w:rFonts w:ascii="仿宋" w:hAnsi="仿宋" w:eastAsia="仿宋"/>
                <w:sz w:val="24"/>
                <w:szCs w:val="24"/>
              </w:rPr>
              <w:t>LIS</w:t>
            </w:r>
          </w:p>
        </w:tc>
        <w:tc>
          <w:tcPr>
            <w:tcW w:w="2126" w:type="dxa"/>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第三级</w:t>
            </w:r>
          </w:p>
        </w:tc>
        <w:tc>
          <w:tcPr>
            <w:tcW w:w="1213" w:type="dxa"/>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3</w:t>
            </w:r>
          </w:p>
        </w:tc>
        <w:tc>
          <w:tcPr>
            <w:tcW w:w="4253" w:type="dxa"/>
            <w:vAlign w:val="center"/>
          </w:tcPr>
          <w:p>
            <w:pPr>
              <w:spacing w:line="360" w:lineRule="auto"/>
              <w:jc w:val="center"/>
              <w:rPr>
                <w:rFonts w:ascii="仿宋" w:hAnsi="仿宋" w:eastAsia="仿宋"/>
                <w:sz w:val="24"/>
                <w:szCs w:val="24"/>
              </w:rPr>
            </w:pPr>
            <w:r>
              <w:rPr>
                <w:rFonts w:ascii="仿宋" w:hAnsi="仿宋" w:eastAsia="仿宋"/>
                <w:sz w:val="24"/>
                <w:szCs w:val="24"/>
              </w:rPr>
              <w:t>PACS</w:t>
            </w:r>
          </w:p>
        </w:tc>
        <w:tc>
          <w:tcPr>
            <w:tcW w:w="2126"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第三级</w:t>
            </w:r>
          </w:p>
        </w:tc>
        <w:tc>
          <w:tcPr>
            <w:tcW w:w="1213" w:type="dxa"/>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4</w:t>
            </w:r>
          </w:p>
        </w:tc>
        <w:tc>
          <w:tcPr>
            <w:tcW w:w="4253" w:type="dxa"/>
            <w:vAlign w:val="center"/>
          </w:tcPr>
          <w:p>
            <w:pPr>
              <w:spacing w:line="360" w:lineRule="auto"/>
              <w:jc w:val="center"/>
              <w:rPr>
                <w:rFonts w:ascii="仿宋" w:hAnsi="仿宋" w:eastAsia="仿宋"/>
                <w:sz w:val="24"/>
                <w:szCs w:val="24"/>
              </w:rPr>
            </w:pPr>
            <w:r>
              <w:rPr>
                <w:rFonts w:ascii="仿宋" w:hAnsi="仿宋" w:eastAsia="仿宋"/>
                <w:sz w:val="24"/>
                <w:szCs w:val="24"/>
              </w:rPr>
              <w:t>EMR</w:t>
            </w:r>
          </w:p>
        </w:tc>
        <w:tc>
          <w:tcPr>
            <w:tcW w:w="2126"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第三级</w:t>
            </w:r>
          </w:p>
        </w:tc>
        <w:tc>
          <w:tcPr>
            <w:tcW w:w="1213" w:type="dxa"/>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5</w:t>
            </w:r>
          </w:p>
        </w:tc>
        <w:tc>
          <w:tcPr>
            <w:tcW w:w="4253"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门户网站</w:t>
            </w:r>
          </w:p>
        </w:tc>
        <w:tc>
          <w:tcPr>
            <w:tcW w:w="2126"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第三级</w:t>
            </w:r>
          </w:p>
        </w:tc>
        <w:tc>
          <w:tcPr>
            <w:tcW w:w="1213" w:type="dxa"/>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6</w:t>
            </w:r>
          </w:p>
        </w:tc>
        <w:tc>
          <w:tcPr>
            <w:tcW w:w="4253" w:type="dxa"/>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H</w:t>
            </w:r>
            <w:r>
              <w:rPr>
                <w:rFonts w:ascii="仿宋" w:hAnsi="仿宋" w:eastAsia="仿宋"/>
                <w:sz w:val="24"/>
                <w:szCs w:val="24"/>
              </w:rPr>
              <w:t>RP</w:t>
            </w:r>
          </w:p>
        </w:tc>
        <w:tc>
          <w:tcPr>
            <w:tcW w:w="2126" w:type="dxa"/>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第三级</w:t>
            </w:r>
          </w:p>
        </w:tc>
        <w:tc>
          <w:tcPr>
            <w:tcW w:w="1213" w:type="dxa"/>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7</w:t>
            </w:r>
          </w:p>
        </w:tc>
        <w:tc>
          <w:tcPr>
            <w:tcW w:w="4253" w:type="dxa"/>
            <w:vAlign w:val="center"/>
          </w:tcPr>
          <w:p>
            <w:pPr>
              <w:spacing w:line="360" w:lineRule="auto"/>
              <w:jc w:val="center"/>
              <w:rPr>
                <w:rFonts w:hint="eastAsia" w:ascii="仿宋" w:hAnsi="仿宋" w:eastAsia="仿宋"/>
                <w:sz w:val="24"/>
                <w:szCs w:val="24"/>
              </w:rPr>
            </w:pPr>
            <w:r>
              <w:rPr>
                <w:rFonts w:ascii="仿宋" w:hAnsi="仿宋" w:eastAsia="仿宋"/>
                <w:sz w:val="24"/>
                <w:szCs w:val="24"/>
              </w:rPr>
              <w:t>医院信息平台</w:t>
            </w:r>
          </w:p>
        </w:tc>
        <w:tc>
          <w:tcPr>
            <w:tcW w:w="2126" w:type="dxa"/>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第三级</w:t>
            </w:r>
          </w:p>
        </w:tc>
        <w:tc>
          <w:tcPr>
            <w:tcW w:w="1213" w:type="dxa"/>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8</w:t>
            </w:r>
          </w:p>
        </w:tc>
        <w:tc>
          <w:tcPr>
            <w:tcW w:w="4253" w:type="dxa"/>
            <w:vAlign w:val="center"/>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OA</w:t>
            </w:r>
          </w:p>
        </w:tc>
        <w:tc>
          <w:tcPr>
            <w:tcW w:w="2126" w:type="dxa"/>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第三级</w:t>
            </w:r>
          </w:p>
        </w:tc>
        <w:tc>
          <w:tcPr>
            <w:tcW w:w="1213" w:type="dxa"/>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9</w:t>
            </w:r>
          </w:p>
        </w:tc>
        <w:tc>
          <w:tcPr>
            <w:tcW w:w="4253" w:type="dxa"/>
            <w:vAlign w:val="center"/>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互联网医院</w:t>
            </w:r>
          </w:p>
        </w:tc>
        <w:tc>
          <w:tcPr>
            <w:tcW w:w="2126" w:type="dxa"/>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第三级</w:t>
            </w:r>
            <w:bookmarkStart w:id="0" w:name="_GoBack"/>
            <w:bookmarkEnd w:id="0"/>
          </w:p>
        </w:tc>
        <w:tc>
          <w:tcPr>
            <w:tcW w:w="1213" w:type="dxa"/>
          </w:tcPr>
          <w:p>
            <w:pPr>
              <w:spacing w:line="360" w:lineRule="auto"/>
              <w:jc w:val="center"/>
              <w:rPr>
                <w:rFonts w:ascii="仿宋" w:hAnsi="仿宋" w:eastAsia="仿宋"/>
                <w:sz w:val="24"/>
                <w:szCs w:val="24"/>
              </w:rPr>
            </w:pPr>
          </w:p>
        </w:tc>
      </w:tr>
    </w:tbl>
    <w:p>
      <w:pP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六、工作内容</w:t>
      </w:r>
    </w:p>
    <w:p>
      <w:pPr>
        <w:spacing w:line="360" w:lineRule="auto"/>
        <w:ind w:firstLine="420"/>
        <w:rPr>
          <w:rFonts w:ascii="仿宋" w:hAnsi="仿宋" w:eastAsia="仿宋"/>
          <w:sz w:val="24"/>
          <w:szCs w:val="24"/>
        </w:rPr>
      </w:pPr>
      <w:r>
        <w:rPr>
          <w:rFonts w:hint="eastAsia" w:ascii="仿宋" w:hAnsi="仿宋" w:eastAsia="仿宋"/>
          <w:sz w:val="24"/>
          <w:szCs w:val="24"/>
        </w:rPr>
        <w:t>等级测评的现场实施过程由单元测评和整体测评两部分构成。</w:t>
      </w:r>
    </w:p>
    <w:p>
      <w:pPr>
        <w:spacing w:line="360" w:lineRule="auto"/>
        <w:ind w:firstLine="420"/>
        <w:rPr>
          <w:rFonts w:ascii="仿宋" w:hAnsi="仿宋" w:eastAsia="仿宋"/>
          <w:sz w:val="24"/>
          <w:szCs w:val="24"/>
        </w:rPr>
      </w:pPr>
      <w:r>
        <w:rPr>
          <w:rFonts w:hint="eastAsia" w:ascii="仿宋" w:hAnsi="仿宋" w:eastAsia="仿宋"/>
          <w:sz w:val="24"/>
          <w:szCs w:val="24"/>
        </w:rPr>
        <w:t>对应《基本要求》各安全控制点的测评称为单元测评，具体可分为安全物理环境、安全区域边界、安全通信网络、安全计算环境、安全管理中心、安全管理制度、安全管理机构、安全管理人员、安全建设管理和安全运维管理10个测评任务。</w:t>
      </w:r>
    </w:p>
    <w:p>
      <w:pPr>
        <w:spacing w:line="360" w:lineRule="auto"/>
        <w:ind w:firstLine="420"/>
        <w:rPr>
          <w:rFonts w:hint="eastAsia" w:ascii="仿宋" w:hAnsi="仿宋" w:eastAsia="仿宋"/>
          <w:sz w:val="24"/>
          <w:szCs w:val="24"/>
          <w:lang w:eastAsia="zh-CN"/>
        </w:rPr>
      </w:pPr>
      <w:r>
        <w:rPr>
          <w:rFonts w:hint="eastAsia" w:ascii="仿宋" w:hAnsi="仿宋" w:eastAsia="仿宋"/>
          <w:sz w:val="24"/>
          <w:szCs w:val="24"/>
        </w:rPr>
        <w:t>整体测评是在单元测评的基础上，通过进一步分析信息系统安全保护功能的整体相关性，对信息系统实施的综合安全测评</w:t>
      </w:r>
      <w:r>
        <w:rPr>
          <w:rFonts w:hint="eastAsia" w:ascii="仿宋" w:hAnsi="仿宋" w:eastAsia="仿宋"/>
          <w:sz w:val="24"/>
          <w:szCs w:val="24"/>
          <w:lang w:eastAsia="zh-CN"/>
        </w:rPr>
        <w:t>。</w:t>
      </w:r>
    </w:p>
    <w:p/>
    <w:sectPr>
      <w:footerReference r:id="rId3" w:type="default"/>
      <w:pgSz w:w="11906" w:h="16838"/>
      <w:pgMar w:top="1440" w:right="1418"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9895"/>
      <w:docPartObj>
        <w:docPartGallery w:val="autotext"/>
      </w:docPartObj>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F485F"/>
    <w:multiLevelType w:val="multilevel"/>
    <w:tmpl w:val="055F485F"/>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zOTBkYTFiZTM4MDQ3NGM2OTNhYzBiZjU5MGNhZGUifQ=="/>
  </w:docVars>
  <w:rsids>
    <w:rsidRoot w:val="00563B7E"/>
    <w:rsid w:val="000B2706"/>
    <w:rsid w:val="0016195E"/>
    <w:rsid w:val="002A7F8C"/>
    <w:rsid w:val="0042680C"/>
    <w:rsid w:val="00563B7E"/>
    <w:rsid w:val="006E048B"/>
    <w:rsid w:val="112B46C3"/>
    <w:rsid w:val="18194E5B"/>
    <w:rsid w:val="18944B1B"/>
    <w:rsid w:val="38FB4755"/>
    <w:rsid w:val="3CD76FF9"/>
    <w:rsid w:val="3E3101FD"/>
    <w:rsid w:val="417C3111"/>
    <w:rsid w:val="60CB250D"/>
    <w:rsid w:val="7D0B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annotation reference"/>
    <w:basedOn w:val="8"/>
    <w:semiHidden/>
    <w:unhideWhenUsed/>
    <w:qFormat/>
    <w:uiPriority w:val="99"/>
    <w:rPr>
      <w:sz w:val="21"/>
      <w:szCs w:val="21"/>
    </w:rPr>
  </w:style>
  <w:style w:type="paragraph" w:styleId="11">
    <w:name w:val="List Paragraph"/>
    <w:basedOn w:val="1"/>
    <w:qFormat/>
    <w:uiPriority w:val="34"/>
    <w:pPr>
      <w:ind w:firstLine="420" w:firstLineChars="200"/>
    </w:pPr>
  </w:style>
  <w:style w:type="paragraph" w:customStyle="1" w:styleId="1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
    <w:name w:val="一级标题样式"/>
    <w:basedOn w:val="2"/>
    <w:next w:val="1"/>
    <w:autoRedefine/>
    <w:qFormat/>
    <w:uiPriority w:val="0"/>
    <w:pPr>
      <w:widowControl/>
      <w:spacing w:before="100" w:beforeAutospacing="1" w:after="100" w:afterAutospacing="1" w:line="360" w:lineRule="auto"/>
      <w:ind w:left="425" w:hanging="425"/>
      <w:jc w:val="left"/>
      <w:outlineLvl w:val="0"/>
    </w:pPr>
    <w:rPr>
      <w:rFonts w:ascii="Times New Roman" w:hAnsi="Times New Roman" w:eastAsia="仿宋_GB2312"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312</Words>
  <Characters>351</Characters>
  <Lines>3</Lines>
  <Paragraphs>1</Paragraphs>
  <TotalTime>4</TotalTime>
  <ScaleCrop>false</ScaleCrop>
  <LinksUpToDate>false</LinksUpToDate>
  <CharactersWithSpaces>360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2022-02-16T06:14:00Z</dcterms:created>
  <dc:creator>强哥哥</dc:creator>
  <cp:lastModifiedBy>随波逐流</cp:lastModifiedBy>
  <dcterms:modified xsi:type="dcterms:W3CDTF">2024-01-02T03:23:26Z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C8192EF20B7F4CC5A4E5A7DBECF73E56</vt:lpwstr>
  </property>
</Properties>
</file>