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44"/>
        <w:gridCol w:w="825"/>
        <w:gridCol w:w="6696"/>
        <w:gridCol w:w="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zh-CN"/>
              </w:rPr>
              <w:t>项目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lang w:val="zh-CN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zh-CN"/>
              </w:rPr>
              <w:t>需求科室</w:t>
            </w:r>
          </w:p>
        </w:tc>
        <w:tc>
          <w:tcPr>
            <w:tcW w:w="6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功能及配置需求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val="zh-CN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床旁便携式彩超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超声医学科、急诊医学科</w:t>
            </w:r>
          </w:p>
        </w:tc>
        <w:tc>
          <w:tcPr>
            <w:tcW w:w="6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tabs>
                <w:tab w:val="left" w:pos="567"/>
              </w:tabs>
              <w:spacing w:line="300" w:lineRule="exac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 xml:space="preserve">全数字化便携式彩色多普勒超声诊断仪主机 </w:t>
            </w:r>
          </w:p>
          <w:p>
            <w:pPr>
              <w:pStyle w:val="8"/>
              <w:numPr>
                <w:ilvl w:val="1"/>
                <w:numId w:val="1"/>
              </w:numPr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≥1</w:t>
            </w:r>
            <w:r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  <w:t>5”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彩色医用液晶显示器</w:t>
            </w:r>
          </w:p>
          <w:p>
            <w:pPr>
              <w:pStyle w:val="8"/>
              <w:numPr>
                <w:ilvl w:val="1"/>
                <w:numId w:val="1"/>
              </w:numPr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≥13”彩色液晶触摸屏，支持虚拟数字键盘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 xml:space="preserve">轨迹球操作，非触控板 </w:t>
            </w:r>
          </w:p>
          <w:p>
            <w:pPr>
              <w:pStyle w:val="8"/>
              <w:numPr>
                <w:ilvl w:val="1"/>
                <w:numId w:val="1"/>
              </w:numPr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主机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  <w:lang w:eastAsia="zh-CN"/>
              </w:rPr>
              <w:t>内置（不使用扩展器）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≥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个探头接口</w:t>
            </w:r>
            <w:r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大小一致，全激活，互通互用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解剖M型成像单元：≥3条取样线，360°旋转调节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空间复合成像，扩展成像模式下可用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二维角度独立偏转成像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斑点噪音抑制技术，多级可调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扩展成像多级</w:t>
            </w:r>
            <w:r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  <w:t>可调，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支持二维、彩色多普勒模式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二维/彩色双实时对比成像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一键优化，单次操作，支持二维、彩色及频谱模式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局部放大：≥10倍，放大倍数30级以上档位调节，支持画中画功能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一键全屏放大，支持二维、彩色等模式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  <w:t>穿刺引导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功能：支持单条引导线和双线区间引导两种方式，可调节位置及角度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  <w:lang w:val="en-US" w:eastAsia="zh-CN"/>
              </w:rPr>
              <w:t>弹性成像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穿刺增强技术，支持双幅显示，增强平面可多角度调节、应对不同穿刺部位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探头实时温控技术，温度值在显示器上体现（提供证明图片）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567"/>
              </w:tabs>
              <w:spacing w:line="300" w:lineRule="exact"/>
              <w:ind w:firstLineChars="0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预设条件：针对不同的检查脏器，预置最佳图像检查条件，并以脏器图形化直观显示，而非单独的中文或英文显示</w:t>
            </w:r>
          </w:p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测量/分析和报告</w:t>
            </w:r>
          </w:p>
          <w:p>
            <w:pPr>
              <w:pStyle w:val="8"/>
              <w:numPr>
                <w:ilvl w:val="1"/>
                <w:numId w:val="2"/>
              </w:numPr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常规测量软件包</w:t>
            </w:r>
          </w:p>
          <w:p>
            <w:pPr>
              <w:pStyle w:val="8"/>
              <w:numPr>
                <w:ilvl w:val="2"/>
                <w:numId w:val="2"/>
              </w:numPr>
              <w:tabs>
                <w:tab w:val="left" w:pos="567"/>
              </w:tabs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基本测量包，2B模式下支持双幅跨幅测量</w:t>
            </w:r>
          </w:p>
          <w:p>
            <w:pPr>
              <w:pStyle w:val="8"/>
              <w:numPr>
                <w:ilvl w:val="2"/>
                <w:numId w:val="2"/>
              </w:numPr>
              <w:tabs>
                <w:tab w:val="left" w:pos="567"/>
              </w:tabs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定点测速</w:t>
            </w:r>
            <w:r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  <w:t>功能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，彩色多普勒模式下测量血管中某点的血流速度，可同屏显示≥7组数据</w:t>
            </w:r>
          </w:p>
          <w:p>
            <w:pPr>
              <w:pStyle w:val="8"/>
              <w:numPr>
                <w:ilvl w:val="1"/>
                <w:numId w:val="2"/>
              </w:numPr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专科测量软件包，自动生成报告</w:t>
            </w:r>
          </w:p>
          <w:p>
            <w:pPr>
              <w:pStyle w:val="8"/>
              <w:numPr>
                <w:ilvl w:val="2"/>
                <w:numId w:val="2"/>
              </w:numPr>
              <w:tabs>
                <w:tab w:val="left" w:pos="567"/>
              </w:tabs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具备腹部、妇科、心脏、产科、泌尿、小器官、儿科、血管测量软件包</w:t>
            </w:r>
          </w:p>
          <w:p>
            <w:pPr>
              <w:pStyle w:val="8"/>
              <w:numPr>
                <w:ilvl w:val="0"/>
                <w:numId w:val="2"/>
              </w:numPr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b/>
                <w:color w:val="auto"/>
                <w:sz w:val="18"/>
                <w:szCs w:val="18"/>
              </w:rPr>
              <w:t>电影回放及原始数据处理</w:t>
            </w:r>
          </w:p>
          <w:p>
            <w:pPr>
              <w:pStyle w:val="8"/>
              <w:numPr>
                <w:ilvl w:val="1"/>
                <w:numId w:val="3"/>
              </w:numPr>
              <w:spacing w:line="300" w:lineRule="exact"/>
              <w:ind w:left="336"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支持手动、自动回放，支持4D 电影回放</w:t>
            </w:r>
          </w:p>
          <w:p>
            <w:pPr>
              <w:pStyle w:val="8"/>
              <w:numPr>
                <w:ilvl w:val="1"/>
                <w:numId w:val="3"/>
              </w:numPr>
              <w:spacing w:line="300" w:lineRule="exact"/>
              <w:ind w:left="336"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支持不同探头4幅图像同屏动态回放，回放速度可调</w:t>
            </w:r>
          </w:p>
          <w:p>
            <w:pPr>
              <w:pStyle w:val="8"/>
              <w:numPr>
                <w:ilvl w:val="0"/>
                <w:numId w:val="3"/>
              </w:numPr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b/>
                <w:color w:val="auto"/>
                <w:sz w:val="18"/>
                <w:szCs w:val="18"/>
              </w:rPr>
              <w:t>系统技术参数及要求</w:t>
            </w:r>
          </w:p>
          <w:p>
            <w:pPr>
              <w:pStyle w:val="8"/>
              <w:numPr>
                <w:ilvl w:val="1"/>
                <w:numId w:val="3"/>
              </w:numPr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 xml:space="preserve"> 二维灰阶成像单元</w:t>
            </w:r>
          </w:p>
          <w:p>
            <w:pPr>
              <w:pStyle w:val="8"/>
              <w:numPr>
                <w:ilvl w:val="2"/>
                <w:numId w:val="3"/>
              </w:numPr>
              <w:tabs>
                <w:tab w:val="left" w:pos="567"/>
              </w:tabs>
              <w:spacing w:line="300" w:lineRule="exact"/>
              <w:ind w:left="709" w:hanging="709"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最大显示深度：≥400mm</w:t>
            </w:r>
          </w:p>
          <w:p>
            <w:pPr>
              <w:pStyle w:val="8"/>
              <w:numPr>
                <w:ilvl w:val="2"/>
                <w:numId w:val="3"/>
              </w:numPr>
              <w:tabs>
                <w:tab w:val="left" w:pos="567"/>
              </w:tabs>
              <w:spacing w:line="300" w:lineRule="exact"/>
              <w:ind w:left="709" w:hanging="709"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TGC: ≥8段，LGC: ≥2段</w:t>
            </w:r>
          </w:p>
          <w:p>
            <w:pPr>
              <w:pStyle w:val="8"/>
              <w:numPr>
                <w:ilvl w:val="2"/>
                <w:numId w:val="3"/>
              </w:numPr>
              <w:tabs>
                <w:tab w:val="left" w:pos="567"/>
              </w:tabs>
              <w:spacing w:line="300" w:lineRule="exact"/>
              <w:ind w:left="709" w:hanging="709"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动态范围: ≥</w:t>
            </w:r>
            <w:r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  <w:t>275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，可视可调</w:t>
            </w:r>
          </w:p>
          <w:p>
            <w:pPr>
              <w:pStyle w:val="8"/>
              <w:numPr>
                <w:ilvl w:val="2"/>
                <w:numId w:val="3"/>
              </w:numPr>
              <w:tabs>
                <w:tab w:val="left" w:pos="567"/>
              </w:tabs>
              <w:spacing w:line="300" w:lineRule="exact"/>
              <w:ind w:left="709" w:hanging="709"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增益调节≥200</w:t>
            </w:r>
            <w:r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3"/>
              </w:numPr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b/>
                <w:color w:val="auto"/>
                <w:sz w:val="18"/>
                <w:szCs w:val="18"/>
              </w:rPr>
              <w:t>探头规格</w:t>
            </w:r>
          </w:p>
          <w:p>
            <w:pPr>
              <w:pStyle w:val="8"/>
              <w:numPr>
                <w:ilvl w:val="1"/>
                <w:numId w:val="3"/>
              </w:numPr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凸阵探头: 1-7</w:t>
            </w:r>
            <w:r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MHz</w:t>
            </w:r>
          </w:p>
          <w:p>
            <w:pPr>
              <w:pStyle w:val="8"/>
              <w:numPr>
                <w:ilvl w:val="1"/>
                <w:numId w:val="3"/>
              </w:numPr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 xml:space="preserve">线阵探头: </w:t>
            </w:r>
            <w:r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-1</w:t>
            </w:r>
            <w:r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 xml:space="preserve"> MHz</w:t>
            </w: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  <w:lang w:val="en-US" w:eastAsia="zh-CN"/>
              </w:rPr>
              <w:t>（提供技术白皮书或探头检测报告证明）</w:t>
            </w:r>
          </w:p>
          <w:p>
            <w:pPr>
              <w:pStyle w:val="8"/>
              <w:numPr>
                <w:ilvl w:val="1"/>
                <w:numId w:val="3"/>
              </w:numPr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</w:rPr>
              <w:t>相控阵探头: 1-5 MHz</w:t>
            </w:r>
          </w:p>
          <w:p>
            <w:pPr>
              <w:pStyle w:val="8"/>
              <w:numPr>
                <w:ilvl w:val="1"/>
                <w:numId w:val="3"/>
              </w:numPr>
              <w:spacing w:line="300" w:lineRule="exact"/>
              <w:ind w:firstLineChars="0"/>
              <w:jc w:val="left"/>
              <w:rPr>
                <w:rFonts w:ascii="微软雅黑" w:hAnsi="微软雅黑" w:eastAsia="微软雅黑" w:cs="Arial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sz w:val="18"/>
                <w:szCs w:val="18"/>
                <w:lang w:val="en-US" w:eastAsia="zh-CN"/>
              </w:rPr>
              <w:t>可选配腹腔镜超声探头（提供技术白皮书或探头检测报告证明）</w:t>
            </w:r>
          </w:p>
          <w:p>
            <w:pPr>
              <w:pStyle w:val="8"/>
              <w:numPr>
                <w:ilvl w:val="0"/>
                <w:numId w:val="3"/>
              </w:numPr>
              <w:spacing w:line="300" w:lineRule="exact"/>
              <w:ind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color w:val="FF0000"/>
                <w:sz w:val="18"/>
                <w:szCs w:val="18"/>
                <w:lang w:val="en-US" w:eastAsia="zh-CN"/>
              </w:rPr>
              <w:t>质保要求：至少5年质保，含探头</w:t>
            </w:r>
            <w:bookmarkStart w:id="0" w:name="_GoBack"/>
            <w:bookmarkEnd w:id="0"/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需求调研仅限国产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07173"/>
    <w:multiLevelType w:val="multilevel"/>
    <w:tmpl w:val="1E207173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5044965"/>
    <w:multiLevelType w:val="multilevel"/>
    <w:tmpl w:val="5504496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isLgl/>
      <w:lvlText w:val="%1.%2"/>
      <w:lvlJc w:val="left"/>
      <w:pPr>
        <w:ind w:left="396" w:hanging="390"/>
      </w:pPr>
      <w:rPr>
        <w:rFonts w:hint="eastAsia"/>
        <w:color w:val="auto"/>
        <w:sz w:val="18"/>
        <w:szCs w:val="21"/>
      </w:rPr>
    </w:lvl>
    <w:lvl w:ilvl="2" w:tentative="0">
      <w:start w:val="1"/>
      <w:numFmt w:val="decimal"/>
      <w:isLgl/>
      <w:lvlText w:val="%1.%2.%3"/>
      <w:lvlJc w:val="left"/>
      <w:pPr>
        <w:ind w:left="732" w:hanging="720"/>
      </w:pPr>
      <w:rPr>
        <w:rFonts w:hint="eastAsia"/>
        <w:color w:val="1D1B11"/>
      </w:rPr>
    </w:lvl>
    <w:lvl w:ilvl="3" w:tentative="0">
      <w:start w:val="1"/>
      <w:numFmt w:val="decimal"/>
      <w:isLgl/>
      <w:lvlText w:val="%1.%2.%3.%4"/>
      <w:lvlJc w:val="left"/>
      <w:pPr>
        <w:ind w:left="738" w:hanging="720"/>
      </w:pPr>
      <w:rPr>
        <w:rFonts w:hint="eastAsia"/>
        <w:color w:val="1D1B11"/>
      </w:rPr>
    </w:lvl>
    <w:lvl w:ilvl="4" w:tentative="0">
      <w:start w:val="1"/>
      <w:numFmt w:val="decimal"/>
      <w:isLgl/>
      <w:lvlText w:val="%1.%2.%3.%4.%5"/>
      <w:lvlJc w:val="left"/>
      <w:pPr>
        <w:ind w:left="1104" w:hanging="1080"/>
      </w:pPr>
      <w:rPr>
        <w:rFonts w:hint="eastAsia"/>
        <w:color w:val="1D1B11"/>
      </w:rPr>
    </w:lvl>
    <w:lvl w:ilvl="5" w:tentative="0">
      <w:start w:val="1"/>
      <w:numFmt w:val="decimal"/>
      <w:isLgl/>
      <w:lvlText w:val="%1.%2.%3.%4.%5.%6"/>
      <w:lvlJc w:val="left"/>
      <w:pPr>
        <w:ind w:left="1110" w:hanging="1080"/>
      </w:pPr>
      <w:rPr>
        <w:rFonts w:hint="eastAsia"/>
        <w:color w:val="1D1B11"/>
      </w:rPr>
    </w:lvl>
    <w:lvl w:ilvl="6" w:tentative="0">
      <w:start w:val="1"/>
      <w:numFmt w:val="decimal"/>
      <w:isLgl/>
      <w:lvlText w:val="%1.%2.%3.%4.%5.%6.%7"/>
      <w:lvlJc w:val="left"/>
      <w:pPr>
        <w:ind w:left="1476" w:hanging="1440"/>
      </w:pPr>
      <w:rPr>
        <w:rFonts w:hint="eastAsia"/>
        <w:color w:val="1D1B11"/>
      </w:rPr>
    </w:lvl>
    <w:lvl w:ilvl="7" w:tentative="0">
      <w:start w:val="1"/>
      <w:numFmt w:val="decimal"/>
      <w:isLgl/>
      <w:lvlText w:val="%1.%2.%3.%4.%5.%6.%7.%8"/>
      <w:lvlJc w:val="left"/>
      <w:pPr>
        <w:ind w:left="1482" w:hanging="1440"/>
      </w:pPr>
      <w:rPr>
        <w:rFonts w:hint="eastAsia"/>
        <w:color w:val="1D1B11"/>
      </w:rPr>
    </w:lvl>
    <w:lvl w:ilvl="8" w:tentative="0">
      <w:start w:val="1"/>
      <w:numFmt w:val="decimal"/>
      <w:isLgl/>
      <w:lvlText w:val="%1.%2.%3.%4.%5.%6.%7.%8.%9"/>
      <w:lvlJc w:val="left"/>
      <w:pPr>
        <w:ind w:left="1848" w:hanging="1800"/>
      </w:pPr>
      <w:rPr>
        <w:rFonts w:hint="eastAsia"/>
        <w:color w:val="1D1B11"/>
      </w:rPr>
    </w:lvl>
  </w:abstractNum>
  <w:abstractNum w:abstractNumId="2">
    <w:nsid w:val="76323FB4"/>
    <w:multiLevelType w:val="multilevel"/>
    <w:tmpl w:val="76323FB4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 w:tentative="0">
      <w:start w:val="1"/>
      <w:numFmt w:val="decimal"/>
      <w:lvlText w:val="%1.%2.%3"/>
      <w:lvlJc w:val="left"/>
      <w:pPr>
        <w:ind w:left="1512" w:hanging="720"/>
      </w:pPr>
      <w:rPr>
        <w:rFonts w:hint="default"/>
        <w:color w:val="auto"/>
      </w:rPr>
    </w:lvl>
    <w:lvl w:ilvl="3" w:tentative="0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79F6717C"/>
    <w:rsid w:val="05DE61E6"/>
    <w:rsid w:val="132A1FD6"/>
    <w:rsid w:val="17E85AC5"/>
    <w:rsid w:val="389B3DA9"/>
    <w:rsid w:val="4E4F0EFE"/>
    <w:rsid w:val="5531145B"/>
    <w:rsid w:val="65DF77A2"/>
    <w:rsid w:val="6D25783A"/>
    <w:rsid w:val="79F6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医学工程部-医工组</cp:lastModifiedBy>
  <dcterms:modified xsi:type="dcterms:W3CDTF">2024-01-26T06:51:39Z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0A28973EF31D4D569BA73A000DE20E90_11</vt:lpwstr>
  </property>
</Properties>
</file>