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spacing w:beforeLines="0" w:afterLines="0"/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二号楼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中央空调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管路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层阀更换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282212F"/>
    <w:rsid w:val="04E63843"/>
    <w:rsid w:val="1EB55E98"/>
    <w:rsid w:val="2248143D"/>
    <w:rsid w:val="234678BE"/>
    <w:rsid w:val="272E3E68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53B37E0A"/>
    <w:rsid w:val="55B97292"/>
    <w:rsid w:val="5836125D"/>
    <w:rsid w:val="58553C08"/>
    <w:rsid w:val="599320AF"/>
    <w:rsid w:val="69C954B2"/>
    <w:rsid w:val="7944715A"/>
    <w:rsid w:val="7A2B2366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2024-05-13T01:15:21Z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244274BC78BB40E6968F05B5FF52E3E1</vt:lpwstr>
  </property>
</Properties>
</file>