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ECC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AI算力采购调研需求</w:t>
      </w:r>
    </w:p>
    <w:p w14:paraId="2BCB0CAA">
      <w:pPr>
        <w:pStyle w:val="2"/>
        <w:numPr>
          <w:ilvl w:val="0"/>
          <w:numId w:val="1"/>
        </w:numPr>
        <w:spacing w:line="240" w:lineRule="auto"/>
        <w:ind w:left="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总体要求</w:t>
      </w:r>
    </w:p>
    <w:p w14:paraId="37CEDA1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贯彻落实国家关于推动“互联网+医疗健康”发展的战略要求，加快推进我院智慧医院建设与数字化转型，我院拟采购先进、高效、安全的AI算力服务解决方案，以支撑当前及未来医疗AI场景的研发、测试与规模化应用。</w:t>
      </w:r>
    </w:p>
    <w:p w14:paraId="65831811">
      <w:pPr>
        <w:pStyle w:val="2"/>
        <w:numPr>
          <w:ilvl w:val="0"/>
          <w:numId w:val="1"/>
        </w:numPr>
        <w:spacing w:line="240" w:lineRule="auto"/>
        <w:ind w:left="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应用场景</w:t>
      </w:r>
    </w:p>
    <w:p w14:paraId="1E7AB00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本次采购的算力服务需重点满足以下六大核心场景的并发计算需求：</w:t>
      </w:r>
    </w:p>
    <w:p w14:paraId="61FC4A0E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临床科研数据挖掘与分析：支持大规模多组学数据、临床病历数据的模型训练与模拟计算。</w:t>
      </w:r>
    </w:p>
    <w:p w14:paraId="0F48198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智慧病案与医疗质控：基于自然语言处理（NLP）技术，实现病案首页质控、诊疗过程自动监控等。</w:t>
      </w:r>
    </w:p>
    <w:p w14:paraId="27EF2CA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医院智慧管理与决策支持：支持运营数据预测、医疗资源优化调配等模型的训练与推理。</w:t>
      </w:r>
    </w:p>
    <w:p w14:paraId="40C490E0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sz w:val="24"/>
          <w:szCs w:val="24"/>
        </w:rPr>
        <w:t>智能医患服务与语音电子病历：支持语音识别、语义理解等模型的部署与应用</w:t>
      </w:r>
      <w:r>
        <w:rPr>
          <w:rFonts w:hint="eastAsia" w:ascii="宋体" w:hAnsi="宋体" w:eastAsia="宋体"/>
        </w:rPr>
        <w:t>。</w:t>
      </w:r>
    </w:p>
    <w:tbl>
      <w:tblPr>
        <w:tblStyle w:val="13"/>
        <w:tblW w:w="850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76"/>
        <w:gridCol w:w="4386"/>
        <w:gridCol w:w="1846"/>
      </w:tblGrid>
      <w:tr w14:paraId="102A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09579F">
            <w:pPr>
              <w:spacing w:after="0" w:line="240" w:lineRule="auto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场景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58BE33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分类</w:t>
            </w:r>
          </w:p>
        </w:tc>
        <w:tc>
          <w:tcPr>
            <w:tcW w:w="438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</w:tcPr>
          <w:p w14:paraId="408570E3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负荷计算（全天总量，字数*份数*次数）</w:t>
            </w:r>
          </w:p>
        </w:tc>
        <w:tc>
          <w:tcPr>
            <w:tcW w:w="1846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 w14:paraId="364340B9">
            <w:pPr>
              <w:spacing w:after="0" w:line="240" w:lineRule="auto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峰值并发(每秒)</w:t>
            </w:r>
          </w:p>
        </w:tc>
      </w:tr>
      <w:tr w14:paraId="5209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F113E2">
            <w:pPr>
              <w:spacing w:after="0"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FC7580">
            <w:pPr>
              <w:spacing w:after="0" w:line="278" w:lineRule="auto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内部</w:t>
            </w:r>
          </w:p>
        </w:tc>
        <w:tc>
          <w:tcPr>
            <w:tcW w:w="438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</w:tcPr>
          <w:p w14:paraId="7434945A">
            <w:pPr>
              <w:spacing w:after="0" w:line="278" w:lineRule="auto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600*5*300</w:t>
            </w:r>
          </w:p>
        </w:tc>
        <w:tc>
          <w:tcPr>
            <w:tcW w:w="184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 w14:paraId="7FA58549">
            <w:pPr>
              <w:spacing w:after="0" w:line="24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50</w:t>
            </w:r>
          </w:p>
        </w:tc>
      </w:tr>
      <w:tr w14:paraId="17A2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664EF5">
            <w:pPr>
              <w:spacing w:after="0"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7C84DB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Cs/>
              </w:rPr>
              <w:t>内部</w:t>
            </w:r>
          </w:p>
        </w:tc>
        <w:tc>
          <w:tcPr>
            <w:tcW w:w="438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</w:tcPr>
          <w:p w14:paraId="0D01BA00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30*3000*10</w:t>
            </w:r>
          </w:p>
        </w:tc>
        <w:tc>
          <w:tcPr>
            <w:tcW w:w="184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 w14:paraId="28CC1A81">
            <w:pPr>
              <w:spacing w:after="0" w:line="24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</w:t>
            </w:r>
          </w:p>
        </w:tc>
      </w:tr>
      <w:tr w14:paraId="07D6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9145F5">
            <w:pPr>
              <w:spacing w:after="0"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9422F7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Cs/>
              </w:rPr>
              <w:t>内部</w:t>
            </w:r>
          </w:p>
        </w:tc>
        <w:tc>
          <w:tcPr>
            <w:tcW w:w="438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</w:tcPr>
          <w:p w14:paraId="3C0E3639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600*1500*1500</w:t>
            </w:r>
            <w:r>
              <w:rPr>
                <w:rFonts w:ascii="宋体" w:hAnsi="宋体" w:eastAsia="宋体"/>
              </w:rPr>
              <w:t xml:space="preserve"> </w:t>
            </w:r>
          </w:p>
        </w:tc>
        <w:tc>
          <w:tcPr>
            <w:tcW w:w="184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 w14:paraId="5A1C0B31">
            <w:pPr>
              <w:spacing w:after="0" w:line="24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</w:tr>
      <w:tr w14:paraId="7B18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FC13BC">
            <w:pPr>
              <w:spacing w:after="0"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3C4640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Cs/>
              </w:rPr>
              <w:t>内部</w:t>
            </w:r>
          </w:p>
        </w:tc>
        <w:tc>
          <w:tcPr>
            <w:tcW w:w="438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</w:tcPr>
          <w:p w14:paraId="275FEADB">
            <w:pPr>
              <w:spacing w:after="0" w:line="278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300*5000*100</w:t>
            </w:r>
          </w:p>
        </w:tc>
        <w:tc>
          <w:tcPr>
            <w:tcW w:w="184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 w14:paraId="1A71AEEA">
            <w:pPr>
              <w:spacing w:after="0" w:line="24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50</w:t>
            </w:r>
          </w:p>
        </w:tc>
      </w:tr>
      <w:tr w14:paraId="4CCF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7E2AA1">
            <w:pPr>
              <w:spacing w:after="0"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5FC667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社会</w:t>
            </w:r>
          </w:p>
        </w:tc>
        <w:tc>
          <w:tcPr>
            <w:tcW w:w="438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</w:tcPr>
          <w:p w14:paraId="184B699D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600*3000*4</w:t>
            </w:r>
            <w:r>
              <w:rPr>
                <w:rFonts w:ascii="宋体" w:hAnsi="宋体" w:eastAsia="宋体"/>
              </w:rPr>
              <w:t xml:space="preserve"> </w:t>
            </w:r>
          </w:p>
        </w:tc>
        <w:tc>
          <w:tcPr>
            <w:tcW w:w="184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 w14:paraId="1973B43E">
            <w:pPr>
              <w:spacing w:after="0" w:line="24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</w:tr>
      <w:tr w14:paraId="2578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DAE986">
            <w:pPr>
              <w:spacing w:after="0"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B9A1D2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内部</w:t>
            </w:r>
          </w:p>
        </w:tc>
        <w:tc>
          <w:tcPr>
            <w:tcW w:w="438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</w:tcPr>
          <w:p w14:paraId="7B81ED79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日均1.5万次咨询（原2万↓） → 峰值150请求/秒</w:t>
            </w:r>
          </w:p>
        </w:tc>
        <w:tc>
          <w:tcPr>
            <w:tcW w:w="184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 w14:paraId="6C72B976">
            <w:pPr>
              <w:spacing w:after="0" w:line="240" w:lineRule="auto"/>
              <w:rPr>
                <w:rFonts w:hint="eastAsia" w:ascii="宋体" w:hAnsi="宋体" w:eastAsia="宋体"/>
              </w:rPr>
            </w:pPr>
          </w:p>
        </w:tc>
      </w:tr>
      <w:tr w14:paraId="2D71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6A57C8">
            <w:pPr>
              <w:spacing w:after="0" w:line="24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FFD1FA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内部</w:t>
            </w:r>
          </w:p>
        </w:tc>
        <w:tc>
          <w:tcPr>
            <w:tcW w:w="438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</w:tcPr>
          <w:p w14:paraId="3F271BDE">
            <w:pPr>
              <w:spacing w:after="0" w:line="278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5000门诊   × 3000字 → 按0.1请求/秒处理</w:t>
            </w:r>
          </w:p>
        </w:tc>
        <w:tc>
          <w:tcPr>
            <w:tcW w:w="1846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</w:tcPr>
          <w:p w14:paraId="63460344">
            <w:pPr>
              <w:spacing w:after="0" w:line="240" w:lineRule="auto"/>
              <w:rPr>
                <w:rFonts w:hint="eastAsia" w:ascii="宋体" w:hAnsi="宋体" w:eastAsia="宋体"/>
              </w:rPr>
            </w:pPr>
          </w:p>
        </w:tc>
      </w:tr>
    </w:tbl>
    <w:p w14:paraId="6EAD52E8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以Deepseek70B为例，响应速度要求2秒以内，满血版671B为例响应速度15秒以内。</w:t>
      </w:r>
    </w:p>
    <w:p w14:paraId="1F8F170F">
      <w:pPr>
        <w:rPr>
          <w:rFonts w:ascii="宋体" w:hAnsi="宋体" w:eastAsia="宋体"/>
        </w:rPr>
      </w:pPr>
    </w:p>
    <w:p w14:paraId="32DAC341">
      <w:pPr>
        <w:pStyle w:val="2"/>
        <w:numPr>
          <w:ilvl w:val="0"/>
          <w:numId w:val="1"/>
        </w:numPr>
        <w:spacing w:line="240" w:lineRule="auto"/>
        <w:ind w:left="0" w:leftChars="0"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调研内容与技术要求</w:t>
      </w:r>
    </w:p>
    <w:p w14:paraId="0D8168D6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本次公告基于采购AI算力服务+医疗专线数据传输模式。</w:t>
      </w:r>
    </w:p>
    <w:p w14:paraId="49A4B286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请基于我院上述场景需求，提供针对性的解决方案介绍，内容应涵盖但不限于：</w:t>
      </w:r>
    </w:p>
    <w:p w14:paraId="31D10EBA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算力方案类型：提供的算力服务形式（如：私有化部署、混合云、专属云、公有云资源池等）。</w:t>
      </w:r>
    </w:p>
    <w:p w14:paraId="25067E7B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核心性能指标：</w:t>
      </w:r>
    </w:p>
    <w:p w14:paraId="70BFC88A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计算能力：提供的GPU/NPU型号、数量、计算性能（如FP16/FP32算力）、显存大小等。</w:t>
      </w:r>
    </w:p>
    <w:p w14:paraId="4766A107">
      <w:pPr>
        <w:spacing w:line="360" w:lineRule="auto"/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存储方案：高性能并行文件系统容量与IOPS、与计算节点的带宽。</w:t>
      </w:r>
    </w:p>
    <w:p w14:paraId="751BFCFC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网络方案：</w:t>
      </w:r>
      <w:r>
        <w:rPr>
          <w:rFonts w:hint="eastAsia" w:ascii="宋体" w:hAnsi="宋体" w:eastAsia="宋体"/>
          <w:sz w:val="24"/>
          <w:szCs w:val="24"/>
        </w:rPr>
        <w:t>计算节点间网络带宽（如InfiniBand/RoCE）、延迟。</w:t>
      </w:r>
    </w:p>
    <w:p w14:paraId="21ABD74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扩展性：算力资源的弹性扩缩容能力与所需时间。</w:t>
      </w:r>
    </w:p>
    <w:p w14:paraId="442513FE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软件与平台：</w:t>
      </w:r>
    </w:p>
    <w:p w14:paraId="157B193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是否提供成熟的AI开发平台（含资源调度、数据管理、模型开发、训练、部署、监控一体化功能）。</w:t>
      </w:r>
    </w:p>
    <w:p w14:paraId="007C93D8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对主流深度学习框架（如TensorFlow, PyTorch, PaddlePaddle等）的支持情况。</w:t>
      </w:r>
    </w:p>
    <w:p w14:paraId="31221C76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常用医学影像处理库、生物信息学工具包的预集成与优化情况。</w:t>
      </w:r>
    </w:p>
    <w:p w14:paraId="21D26D39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数据安全与合规：（必须说明）</w:t>
      </w:r>
    </w:p>
    <w:p w14:paraId="590585D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方案如何满足《网络安全法》、《数据安全法》、《个人信息保护法》以及医疗行业数据安全等级保护（等保2.0）要求。</w:t>
      </w:r>
    </w:p>
    <w:p w14:paraId="4AA015C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数据加密传输与存储、访问控制、安全审计等具体措施。</w:t>
      </w:r>
    </w:p>
    <w:p w14:paraId="4DF09167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（若为云服务）数据是否可做到本地化部署或绝对私有。</w:t>
      </w:r>
    </w:p>
    <w:p w14:paraId="23501195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4"/>
        </w:rPr>
        <w:t>运维与服务：</w:t>
      </w:r>
    </w:p>
    <w:bookmarkEnd w:id="0"/>
    <w:p w14:paraId="30DE9E22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系统监控、故障告警与恢复机制（SLA服务等级协议承诺）。</w:t>
      </w:r>
    </w:p>
    <w:p w14:paraId="36E6969C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技术支持团队资质、7x24小时响应能力、本地化服务能力。</w:t>
      </w:r>
    </w:p>
    <w:p w14:paraId="3DF4F6B7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技术培训、迁移支持等增值服务内容。</w:t>
      </w:r>
    </w:p>
    <w:p w14:paraId="4BE15432">
      <w:pPr>
        <w:rPr>
          <w:rFonts w:ascii="宋体" w:hAnsi="宋体" w:eastAsia="宋体"/>
        </w:rPr>
      </w:pPr>
    </w:p>
    <w:p w14:paraId="7E91ACB2">
      <w:pPr>
        <w:rPr>
          <w:rFonts w:hint="eastAsia" w:ascii="方正楷体简体" w:hAnsi="方正楷体简体" w:eastAsia="方正楷体简体" w:cs="方正楷体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ADC80"/>
    <w:multiLevelType w:val="singleLevel"/>
    <w:tmpl w:val="914ADC8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D2041F6"/>
    <w:rsid w:val="12183726"/>
    <w:rsid w:val="145E00B3"/>
    <w:rsid w:val="1C550B58"/>
    <w:rsid w:val="21091F11"/>
    <w:rsid w:val="21C33CC9"/>
    <w:rsid w:val="230751DE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94C6B32"/>
    <w:rsid w:val="49601899"/>
    <w:rsid w:val="4C617D74"/>
    <w:rsid w:val="50962F12"/>
    <w:rsid w:val="50CB022C"/>
    <w:rsid w:val="515F00D2"/>
    <w:rsid w:val="51B03B5F"/>
    <w:rsid w:val="55E20486"/>
    <w:rsid w:val="56E21C0C"/>
    <w:rsid w:val="5B7C721B"/>
    <w:rsid w:val="5CA21F50"/>
    <w:rsid w:val="5D8868E5"/>
    <w:rsid w:val="6083374F"/>
    <w:rsid w:val="67A5501F"/>
    <w:rsid w:val="695D32A3"/>
    <w:rsid w:val="6DAF419E"/>
    <w:rsid w:val="731C73C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unhideWhenUsed/>
    <w:qFormat/>
    <w:uiPriority w:val="99"/>
    <w:pPr>
      <w:ind w:firstLine="420" w:firstLineChars="200"/>
    </w:pPr>
  </w:style>
  <w:style w:type="paragraph" w:styleId="4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9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0">
    <w:name w:val="Body Text First Indent"/>
    <w:basedOn w:val="5"/>
    <w:next w:val="8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6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8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1616</Words>
  <Characters>2032</Characters>
  <Lines>0</Lines>
  <Paragraphs>0</Paragraphs>
  <TotalTime>2</TotalTime>
  <ScaleCrop>false</ScaleCrop>
  <LinksUpToDate>false</LinksUpToDate>
  <CharactersWithSpaces>2097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2025-08-28T01:59:02Z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