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B83DB">
      <w:pPr>
        <w:pStyle w:val="3"/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</w:rPr>
      </w:pPr>
      <w:r>
        <w:rPr>
          <w:rFonts w:hint="eastAsia" w:cs="Times New Roman"/>
          <w:sz w:val="36"/>
          <w:szCs w:val="36"/>
          <w:lang w:val="en-US" w:eastAsia="zh-CN"/>
        </w:rPr>
        <w:t>血库管理系统维保服务</w:t>
      </w:r>
      <w:r>
        <w:rPr>
          <w:rFonts w:hint="eastAsia"/>
          <w:sz w:val="36"/>
          <w:szCs w:val="36"/>
          <w:lang w:val="en-US" w:eastAsia="zh-CN"/>
        </w:rPr>
        <w:t>调研</w:t>
      </w:r>
      <w:r>
        <w:rPr>
          <w:rFonts w:hint="eastAsia"/>
          <w:sz w:val="36"/>
          <w:szCs w:val="36"/>
          <w:lang w:eastAsia="zh-CN"/>
        </w:rPr>
        <w:t>需求</w:t>
      </w:r>
    </w:p>
    <w:p w14:paraId="5F4D53F6">
      <w:pPr>
        <w:numPr>
          <w:ilvl w:val="0"/>
          <w:numId w:val="1"/>
        </w:numPr>
        <w:spacing w:line="360" w:lineRule="auto"/>
        <w:ind w:left="0" w:leftChars="0" w:firstLine="420" w:firstLineChars="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服务内容</w:t>
      </w:r>
      <w:r>
        <w:rPr>
          <w:rFonts w:hint="eastAsia" w:ascii="宋体" w:hAnsi="宋体" w:cs="宋体"/>
          <w:sz w:val="24"/>
          <w:lang w:val="en-US" w:eastAsia="zh-CN"/>
        </w:rPr>
        <w:t>及要求</w:t>
      </w:r>
      <w:bookmarkStart w:id="0" w:name="_GoBack"/>
      <w:bookmarkEnd w:id="0"/>
    </w:p>
    <w:p w14:paraId="7DE694D5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1、提供远程在线服务：电话远程技术服务、网络远程技术服务：提供7×24小时热线电话，工程师在线提供技术问题咨询和故障诊断，项目负责人协调技术支持工程师提供突发事件解决方案，响应时效：1小时。若联系方式变化及时通知院方。</w:t>
      </w:r>
    </w:p>
    <w:p w14:paraId="4341A774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2、现场技术服务：即派遣技术工程师现场解决问题，现场技术服务时提供现场处理维护记录表，响应速度：服务响应时间:4小时以内，一般故障解决时间：8小时以内，48小时内提出并处理问题，紧急情况到达现场时间:24小时之内。</w:t>
      </w:r>
      <w:r>
        <w:rPr>
          <w:rFonts w:hint="eastAsia" w:ascii="宋体" w:hAnsi="宋体" w:cs="宋体"/>
          <w:sz w:val="24"/>
        </w:rPr>
        <w:t>若乙方超过时限仍未能修复故障，甲方可委托第三人修复故障，乙方承担120%费用。</w:t>
      </w:r>
    </w:p>
    <w:p w14:paraId="74F1F4E9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3、保障医院端软件与成都市血液中心平台连接畅通；保障该系统已有功能的正常使用及功能的修改和完善；在征求医院同意的情况下，提供系统维护及非功能升级，现有功能模块的维护，保证数据的正确可靠传输，并进行软硬件检测和分析。</w:t>
      </w:r>
    </w:p>
    <w:p w14:paraId="33FB669B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4、负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责该系统操作及使用的培训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，提供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新技术、新产品的咨询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及答疑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；保障系统的数据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和报表无异常，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及输血科申请的报表服务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和数据服务。</w:t>
      </w:r>
    </w:p>
    <w:p w14:paraId="18A05816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5、对中心端服务器及数据库进行定期巡检，保障系统能够正常运行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（包含但不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限于网络操作系统服务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服务器硬件损坏后的系统恢复和重装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乙方所提供的配套硬件的服务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宋体" w:hAnsi="宋体" w:cs="宋体"/>
          <w:sz w:val="24"/>
          <w:szCs w:val="22"/>
          <w:lang w:val="en-US" w:eastAsia="zh-CN"/>
        </w:rPr>
        <w:t>服务器性能与存储空间检查、服务器系统错误日志、应用服务器运行状态检查、数据库运行状态、数据库日志、数据库备份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）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。</w:t>
      </w:r>
    </w:p>
    <w:p w14:paraId="4CB47C32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6、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提供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 w:eastAsia="zh-CN" w:bidi="ar-SA"/>
        </w:rPr>
        <w:t>系统安全运行综合解决方案的咨询服务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。</w:t>
      </w:r>
    </w:p>
    <w:p w14:paraId="65006A3C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b w:val="0"/>
          <w:bCs w:val="0"/>
          <w:kern w:val="2"/>
          <w:sz w:val="24"/>
          <w:szCs w:val="22"/>
          <w:lang w:eastAsia="zh-CN" w:bidi="ar-SA"/>
        </w:rPr>
        <w:t>7、</w:t>
      </w:r>
      <w:r>
        <w:rPr>
          <w:rFonts w:hint="eastAsia" w:ascii="宋体" w:hAnsi="宋体" w:cs="宋体"/>
          <w:sz w:val="24"/>
        </w:rPr>
        <w:t>确保获取备案证，并保证所在年度考核、检查、验收合格。</w:t>
      </w:r>
    </w:p>
    <w:p w14:paraId="7EC86789">
      <w:pPr>
        <w:numPr>
          <w:ilvl w:val="0"/>
          <w:numId w:val="0"/>
        </w:numPr>
        <w:tabs>
          <w:tab w:val="left" w:pos="420"/>
        </w:tabs>
        <w:spacing w:line="36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2"/>
          <w:lang w:val="en-US"/>
        </w:rPr>
      </w:pPr>
      <w:r>
        <w:rPr>
          <w:rFonts w:hint="default" w:ascii="宋体" w:hAnsi="宋体" w:cs="宋体"/>
          <w:b w:val="0"/>
          <w:bCs w:val="0"/>
          <w:kern w:val="2"/>
          <w:sz w:val="24"/>
          <w:szCs w:val="22"/>
          <w:lang w:eastAsia="zh-CN" w:bidi="ar-SA"/>
        </w:rPr>
        <w:t>8</w:t>
      </w:r>
      <w:r>
        <w:rPr>
          <w:rFonts w:hint="eastAsia" w:ascii="宋体" w:hAnsi="宋体" w:cs="宋体"/>
          <w:b w:val="0"/>
          <w:bCs w:val="0"/>
          <w:kern w:val="2"/>
          <w:sz w:val="24"/>
          <w:szCs w:val="22"/>
          <w:lang w:val="en-US" w:eastAsia="zh-CN" w:bidi="ar-SA"/>
        </w:rPr>
        <w:t>、服务商需提供专门的对接人，与我院相关科室提供对接服务</w:t>
      </w:r>
      <w:r>
        <w:rPr>
          <w:rFonts w:hint="eastAsia" w:ascii="宋体" w:hAnsi="宋体" w:cs="宋体"/>
          <w:b w:val="0"/>
          <w:color w:val="auto"/>
          <w:sz w:val="24"/>
          <w:szCs w:val="22"/>
          <w:u w:val="none"/>
          <w:lang w:val="en-US" w:eastAsia="zh-CN"/>
        </w:rPr>
        <w:t>。</w:t>
      </w:r>
    </w:p>
    <w:p w14:paraId="07B26249"/>
    <w:p w14:paraId="5D132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69652FE7">
      <w:pPr>
        <w:rPr>
          <w:color w:val="0000FF"/>
        </w:rPr>
      </w:pPr>
    </w:p>
    <w:p w14:paraId="577E9B6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7F6EFF"/>
    <w:multiLevelType w:val="singleLevel"/>
    <w:tmpl w:val="D37F6EF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43A63CED"/>
    <w:rsid w:val="02A43050"/>
    <w:rsid w:val="04E85352"/>
    <w:rsid w:val="09862E1C"/>
    <w:rsid w:val="0CD22843"/>
    <w:rsid w:val="0D2041F6"/>
    <w:rsid w:val="12183726"/>
    <w:rsid w:val="145E00B3"/>
    <w:rsid w:val="1C550B58"/>
    <w:rsid w:val="21C33CC9"/>
    <w:rsid w:val="230751DE"/>
    <w:rsid w:val="285B0625"/>
    <w:rsid w:val="2E8E2147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5940370"/>
    <w:rsid w:val="494C6B32"/>
    <w:rsid w:val="4C617D74"/>
    <w:rsid w:val="50962F12"/>
    <w:rsid w:val="56E21C0C"/>
    <w:rsid w:val="5B7C721B"/>
    <w:rsid w:val="5CA21F50"/>
    <w:rsid w:val="5EFB6F37"/>
    <w:rsid w:val="6083374F"/>
    <w:rsid w:val="67A5501F"/>
    <w:rsid w:val="6DAF419E"/>
    <w:rsid w:val="6EA91C6A"/>
    <w:rsid w:val="731C73CE"/>
    <w:rsid w:val="79F2751F"/>
    <w:rsid w:val="7C3755ED"/>
    <w:rsid w:val="7C983DE1"/>
    <w:rsid w:val="7CF90201"/>
    <w:rsid w:val="7D3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napToGrid w:val="0"/>
      <w:spacing w:before="240" w:after="240"/>
      <w:ind w:left="0"/>
      <w:jc w:val="center"/>
      <w:outlineLvl w:val="3"/>
    </w:pPr>
    <w:rPr>
      <w:rFonts w:ascii="仿宋_GB2312" w:hAnsi="Arial" w:eastAsia="仿宋_GB2312"/>
      <w:b/>
      <w:bCs/>
      <w:snapToGrid w:val="0"/>
      <w:kern w:val="24"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9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0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1">
    <w:name w:val="Body Text First Indent"/>
    <w:basedOn w:val="5"/>
    <w:next w:val="9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next w:val="1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7">
    <w:name w:val="BodyText"/>
    <w:basedOn w:val="1"/>
    <w:next w:val="1"/>
    <w:qFormat/>
    <w:uiPriority w:val="0"/>
    <w:pPr>
      <w:spacing w:after="120"/>
    </w:p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531</Characters>
  <Lines>0</Lines>
  <Paragraphs>0</Paragraphs>
  <TotalTime>0</TotalTime>
  <ScaleCrop>false</ScaleCrop>
  <LinksUpToDate>false</LinksUpToDate>
  <CharactersWithSpaces>531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2025-11-19T03:07:17Z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